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82" w:rsidRDefault="00602625">
      <w:r>
        <w:rPr>
          <w:noProof/>
        </w:rPr>
        <w:pict>
          <v:shapetype id="_x0000_t202" coordsize="21600,21600" o:spt="202" path="m,l,21600r21600,l21600,xe">
            <v:stroke joinstyle="miter"/>
            <v:path gradientshapeok="t" o:connecttype="rect"/>
          </v:shapetype>
          <v:shape id="_x0000_s1043" type="#_x0000_t202" style="position:absolute;left:0;text-align:left;margin-left:369.9pt;margin-top:423.15pt;width:55.4pt;height:25.95pt;z-index:251678720;mso-height-percent:200;mso-height-percent:200;mso-width-relative:margin;mso-height-relative:margin" strokecolor="white [3212]">
            <v:textbox style="mso-next-textbox:#_x0000_s1043;mso-fit-shape-to-text:t">
              <w:txbxContent>
                <w:p w:rsidR="00F16208" w:rsidRPr="00F16208" w:rsidRDefault="00F16208">
                  <w:pPr>
                    <w:rPr>
                      <w:bdr w:val="single" w:sz="4" w:space="0" w:color="auto"/>
                    </w:rPr>
                  </w:pPr>
                  <w:r w:rsidRPr="00F16208">
                    <w:rPr>
                      <w:rFonts w:hint="eastAsia"/>
                      <w:bdr w:val="single" w:sz="4" w:space="0" w:color="auto"/>
                    </w:rPr>
                    <w:t>未対象</w:t>
                  </w:r>
                </w:p>
              </w:txbxContent>
            </v:textbox>
          </v:shape>
        </w:pict>
      </w:r>
      <w:r>
        <w:rPr>
          <w:noProof/>
        </w:rPr>
        <w:pict>
          <v:shape id="_x0000_s1039" type="#_x0000_t202" style="position:absolute;left:0;text-align:left;margin-left:351.05pt;margin-top:465.3pt;width:79.6pt;height:25.95pt;z-index:251673600;mso-height-percent:200;mso-height-percent:200;mso-width-relative:margin;mso-height-relative:margin" strokecolor="white [3212]">
            <v:textbox style="mso-next-textbox:#_x0000_s1039;mso-fit-shape-to-text:t">
              <w:txbxContent>
                <w:p w:rsidR="00F16208" w:rsidRPr="00F16208" w:rsidRDefault="00F16208">
                  <w:pPr>
                    <w:rPr>
                      <w:bdr w:val="single" w:sz="4" w:space="0" w:color="auto"/>
                    </w:rPr>
                  </w:pPr>
                  <w:r w:rsidRPr="00F16208">
                    <w:rPr>
                      <w:rFonts w:hint="eastAsia"/>
                      <w:bdr w:val="single" w:sz="4" w:space="0" w:color="auto"/>
                    </w:rPr>
                    <w:t>既に助成対象</w:t>
                  </w:r>
                </w:p>
              </w:txbxContent>
            </v:textbox>
          </v:shape>
        </w:pict>
      </w:r>
      <w:r>
        <w:rPr>
          <w:noProof/>
        </w:rPr>
        <w:pict>
          <v:shape id="_x0000_s1044" type="#_x0000_t202" style="position:absolute;left:0;text-align:left;margin-left:4.5pt;margin-top:495.45pt;width:424.35pt;height:262.8pt;z-index:251679744" strokecolor="white [3212]">
            <v:textbox style="mso-next-textbox:#_x0000_s1044" inset="5.85pt,.7pt,5.85pt,.7pt">
              <w:txbxContent>
                <w:p w:rsidR="00F16208" w:rsidRPr="00796D9E" w:rsidRDefault="00F16208" w:rsidP="00C37582">
                  <w:pPr>
                    <w:spacing w:line="360" w:lineRule="exact"/>
                    <w:rPr>
                      <w:rFonts w:ascii="HG創英角ﾎﾟｯﾌﾟ体" w:eastAsia="HG創英角ﾎﾟｯﾌﾟ体"/>
                      <w:color w:val="E36C0A" w:themeColor="accent6" w:themeShade="BF"/>
                      <w:sz w:val="36"/>
                      <w:szCs w:val="36"/>
                    </w:rPr>
                  </w:pPr>
                  <w:r w:rsidRPr="00796D9E">
                    <w:rPr>
                      <w:rFonts w:ascii="HG創英角ﾎﾟｯﾌﾟ体" w:eastAsia="HG創英角ﾎﾟｯﾌﾟ体" w:hint="eastAsia"/>
                      <w:color w:val="E36C0A" w:themeColor="accent6" w:themeShade="BF"/>
                      <w:sz w:val="36"/>
                      <w:szCs w:val="36"/>
                    </w:rPr>
                    <w:t>精神障害者の置かれている実態を見た助成制度に</w:t>
                  </w:r>
                </w:p>
                <w:p w:rsidR="00F16208" w:rsidRPr="00C37582" w:rsidRDefault="00F16208" w:rsidP="00C37582">
                  <w:pPr>
                    <w:spacing w:line="300" w:lineRule="exact"/>
                    <w:rPr>
                      <w:sz w:val="26"/>
                      <w:szCs w:val="26"/>
                    </w:rPr>
                  </w:pPr>
                  <w:r w:rsidRPr="00C37582">
                    <w:rPr>
                      <w:rFonts w:hint="eastAsia"/>
                      <w:sz w:val="26"/>
                      <w:szCs w:val="26"/>
                    </w:rPr>
                    <w:t xml:space="preserve">　静岡県は、今年</w:t>
                  </w:r>
                  <w:r w:rsidRPr="00C37582">
                    <w:rPr>
                      <w:rFonts w:hint="eastAsia"/>
                      <w:sz w:val="26"/>
                      <w:szCs w:val="26"/>
                    </w:rPr>
                    <w:t>10</w:t>
                  </w:r>
                  <w:r w:rsidRPr="00C37582">
                    <w:rPr>
                      <w:rFonts w:hint="eastAsia"/>
                      <w:sz w:val="26"/>
                      <w:szCs w:val="26"/>
                    </w:rPr>
                    <w:t>月より精神障害者</w:t>
                  </w:r>
                  <w:r w:rsidRPr="00C37582">
                    <w:rPr>
                      <w:rFonts w:hint="eastAsia"/>
                      <w:sz w:val="26"/>
                      <w:szCs w:val="26"/>
                    </w:rPr>
                    <w:t>1</w:t>
                  </w:r>
                  <w:r w:rsidRPr="00C37582">
                    <w:rPr>
                      <w:rFonts w:hint="eastAsia"/>
                      <w:sz w:val="26"/>
                      <w:szCs w:val="26"/>
                    </w:rPr>
                    <w:t>級手帳所持者の医療費（一般通院・歯科</w:t>
                  </w:r>
                  <w:r w:rsidR="00C37582" w:rsidRPr="00C37582">
                    <w:rPr>
                      <w:rFonts w:hint="eastAsia"/>
                      <w:sz w:val="26"/>
                      <w:szCs w:val="26"/>
                    </w:rPr>
                    <w:t>など</w:t>
                  </w:r>
                  <w:r w:rsidRPr="00C37582">
                    <w:rPr>
                      <w:rFonts w:hint="eastAsia"/>
                      <w:sz w:val="26"/>
                      <w:szCs w:val="26"/>
                    </w:rPr>
                    <w:t>）に対し助成制度の導入を決定しました。</w:t>
                  </w:r>
                </w:p>
                <w:p w:rsidR="00F16208" w:rsidRPr="00C37582" w:rsidRDefault="00F16208" w:rsidP="00C37582">
                  <w:pPr>
                    <w:spacing w:line="300" w:lineRule="exact"/>
                    <w:rPr>
                      <w:sz w:val="26"/>
                      <w:szCs w:val="26"/>
                    </w:rPr>
                  </w:pPr>
                  <w:r w:rsidRPr="00C37582">
                    <w:rPr>
                      <w:rFonts w:hint="eastAsia"/>
                      <w:sz w:val="26"/>
                      <w:szCs w:val="26"/>
                    </w:rPr>
                    <w:t xml:space="preserve">　しかし、精神障害者は他の</w:t>
                  </w:r>
                  <w:r w:rsidRPr="00C37582">
                    <w:rPr>
                      <w:rFonts w:hint="eastAsia"/>
                      <w:sz w:val="26"/>
                      <w:szCs w:val="26"/>
                    </w:rPr>
                    <w:t>2</w:t>
                  </w:r>
                  <w:r w:rsidRPr="00C37582">
                    <w:rPr>
                      <w:rFonts w:hint="eastAsia"/>
                      <w:sz w:val="26"/>
                      <w:szCs w:val="26"/>
                    </w:rPr>
                    <w:t>つの障害（身体・知的）に比べて</w:t>
                  </w:r>
                  <w:r w:rsidRPr="00C37582">
                    <w:rPr>
                      <w:rFonts w:hint="eastAsia"/>
                      <w:sz w:val="26"/>
                      <w:szCs w:val="26"/>
                    </w:rPr>
                    <w:t>1</w:t>
                  </w:r>
                  <w:r w:rsidRPr="00C37582">
                    <w:rPr>
                      <w:rFonts w:hint="eastAsia"/>
                      <w:sz w:val="26"/>
                      <w:szCs w:val="26"/>
                    </w:rPr>
                    <w:t>級</w:t>
                  </w:r>
                  <w:r w:rsidR="00C37582" w:rsidRPr="00C37582">
                    <w:rPr>
                      <w:rFonts w:hint="eastAsia"/>
                      <w:sz w:val="26"/>
                      <w:szCs w:val="26"/>
                    </w:rPr>
                    <w:t>認定者数が極めて少なく、大半の精神障害者には助成制度が行き届いていません。</w:t>
                  </w:r>
                </w:p>
                <w:p w:rsidR="00C37582" w:rsidRPr="00C37582" w:rsidRDefault="00C37582" w:rsidP="00C37582">
                  <w:pPr>
                    <w:spacing w:line="300" w:lineRule="exact"/>
                    <w:rPr>
                      <w:sz w:val="26"/>
                      <w:szCs w:val="26"/>
                    </w:rPr>
                  </w:pPr>
                  <w:r w:rsidRPr="00C37582">
                    <w:rPr>
                      <w:rFonts w:hint="eastAsia"/>
                      <w:sz w:val="26"/>
                      <w:szCs w:val="26"/>
                    </w:rPr>
                    <w:t xml:space="preserve">　これは、他の</w:t>
                  </w:r>
                  <w:r w:rsidRPr="00C37582">
                    <w:rPr>
                      <w:rFonts w:hint="eastAsia"/>
                      <w:sz w:val="26"/>
                      <w:szCs w:val="26"/>
                    </w:rPr>
                    <w:t>2</w:t>
                  </w:r>
                  <w:r w:rsidRPr="00C37582">
                    <w:rPr>
                      <w:rFonts w:hint="eastAsia"/>
                      <w:sz w:val="26"/>
                      <w:szCs w:val="26"/>
                    </w:rPr>
                    <w:t>障害に比べて重度障害との見極めが難しく、なかなか</w:t>
                  </w:r>
                  <w:r w:rsidRPr="00C37582">
                    <w:rPr>
                      <w:rFonts w:hint="eastAsia"/>
                      <w:sz w:val="26"/>
                      <w:szCs w:val="26"/>
                    </w:rPr>
                    <w:t>1</w:t>
                  </w:r>
                  <w:r w:rsidRPr="00C37582">
                    <w:rPr>
                      <w:rFonts w:hint="eastAsia"/>
                      <w:sz w:val="26"/>
                      <w:szCs w:val="26"/>
                    </w:rPr>
                    <w:t>級の認定が出なという実態があります。</w:t>
                  </w:r>
                </w:p>
                <w:p w:rsidR="00C37582" w:rsidRPr="00C37582" w:rsidRDefault="00C37582" w:rsidP="00C37582">
                  <w:pPr>
                    <w:spacing w:line="300" w:lineRule="exact"/>
                    <w:rPr>
                      <w:sz w:val="26"/>
                      <w:szCs w:val="26"/>
                    </w:rPr>
                  </w:pPr>
                  <w:r w:rsidRPr="00C37582">
                    <w:rPr>
                      <w:rFonts w:hint="eastAsia"/>
                      <w:sz w:val="26"/>
                      <w:szCs w:val="26"/>
                    </w:rPr>
                    <w:t xml:space="preserve">　昨年ある精神障害者施設長の方にお話を伺う機会がありました。就職する事が難しくわずかな収入の中で暮らしており病気になっても医者に行けない、面倒を見てくれる親が亡くなればどうなってしまうのか見当すら付かない、年収</w:t>
                  </w:r>
                  <w:r w:rsidRPr="00C37582">
                    <w:rPr>
                      <w:rFonts w:hint="eastAsia"/>
                      <w:sz w:val="26"/>
                      <w:szCs w:val="26"/>
                    </w:rPr>
                    <w:t>30</w:t>
                  </w:r>
                  <w:r w:rsidRPr="00C37582">
                    <w:rPr>
                      <w:rFonts w:hint="eastAsia"/>
                      <w:sz w:val="26"/>
                      <w:szCs w:val="26"/>
                    </w:rPr>
                    <w:t>万以下の人が</w:t>
                  </w:r>
                  <w:r w:rsidRPr="00C37582">
                    <w:rPr>
                      <w:rFonts w:hint="eastAsia"/>
                      <w:sz w:val="26"/>
                      <w:szCs w:val="26"/>
                    </w:rPr>
                    <w:t>67</w:t>
                  </w:r>
                  <w:r w:rsidRPr="00C37582">
                    <w:rPr>
                      <w:rFonts w:hint="eastAsia"/>
                      <w:sz w:val="26"/>
                      <w:szCs w:val="26"/>
                    </w:rPr>
                    <w:t>％を占めている、</w:t>
                  </w:r>
                  <w:r w:rsidRPr="00C37582">
                    <w:rPr>
                      <w:rFonts w:hint="eastAsia"/>
                      <w:sz w:val="26"/>
                      <w:szCs w:val="26"/>
                    </w:rPr>
                    <w:t>1</w:t>
                  </w:r>
                  <w:r w:rsidRPr="00C37582">
                    <w:rPr>
                      <w:rFonts w:hint="eastAsia"/>
                      <w:sz w:val="26"/>
                      <w:szCs w:val="26"/>
                    </w:rPr>
                    <w:t>級</w:t>
                  </w:r>
                  <w:r w:rsidRPr="00C37582">
                    <w:rPr>
                      <w:rFonts w:hint="eastAsia"/>
                      <w:sz w:val="26"/>
                      <w:szCs w:val="26"/>
                    </w:rPr>
                    <w:t>2</w:t>
                  </w:r>
                  <w:r w:rsidR="00723A66">
                    <w:rPr>
                      <w:rFonts w:hint="eastAsia"/>
                      <w:sz w:val="26"/>
                      <w:szCs w:val="26"/>
                    </w:rPr>
                    <w:t>級というが実態はほとんどかわりない等々、切実な内容</w:t>
                  </w:r>
                  <w:r w:rsidRPr="00C37582">
                    <w:rPr>
                      <w:rFonts w:hint="eastAsia"/>
                      <w:sz w:val="26"/>
                      <w:szCs w:val="26"/>
                    </w:rPr>
                    <w:t>でした。</w:t>
                  </w:r>
                </w:p>
                <w:p w:rsidR="00C37582" w:rsidRPr="00C37582" w:rsidRDefault="00C37582" w:rsidP="00C37582">
                  <w:pPr>
                    <w:spacing w:line="300" w:lineRule="exact"/>
                    <w:rPr>
                      <w:sz w:val="26"/>
                      <w:szCs w:val="26"/>
                    </w:rPr>
                  </w:pPr>
                  <w:r w:rsidRPr="00C37582">
                    <w:rPr>
                      <w:rFonts w:hint="eastAsia"/>
                      <w:sz w:val="26"/>
                      <w:szCs w:val="26"/>
                    </w:rPr>
                    <w:t xml:space="preserve">　</w:t>
                  </w:r>
                  <w:r w:rsidRPr="00C37582">
                    <w:rPr>
                      <w:rFonts w:hint="eastAsia"/>
                      <w:sz w:val="26"/>
                      <w:szCs w:val="26"/>
                    </w:rPr>
                    <w:t>医療費の助成制度は、本来こうした方に手厚く</w:t>
                  </w:r>
                  <w:r w:rsidR="00723A66">
                    <w:rPr>
                      <w:rFonts w:hint="eastAsia"/>
                      <w:sz w:val="26"/>
                      <w:szCs w:val="26"/>
                    </w:rPr>
                    <w:t>行う</w:t>
                  </w:r>
                  <w:r w:rsidRPr="00C37582">
                    <w:rPr>
                      <w:rFonts w:hint="eastAsia"/>
                      <w:sz w:val="26"/>
                      <w:szCs w:val="26"/>
                    </w:rPr>
                    <w:t>のが趣旨</w:t>
                  </w:r>
                  <w:r w:rsidR="00BB5CA2">
                    <w:rPr>
                      <w:rFonts w:hint="eastAsia"/>
                      <w:sz w:val="26"/>
                      <w:szCs w:val="26"/>
                    </w:rPr>
                    <w:t>の</w:t>
                  </w:r>
                  <w:r w:rsidRPr="00C37582">
                    <w:rPr>
                      <w:rFonts w:hint="eastAsia"/>
                      <w:sz w:val="26"/>
                      <w:szCs w:val="26"/>
                    </w:rPr>
                    <w:t>はず</w:t>
                  </w:r>
                  <w:r w:rsidR="00BB5CA2">
                    <w:rPr>
                      <w:rFonts w:hint="eastAsia"/>
                      <w:sz w:val="26"/>
                      <w:szCs w:val="26"/>
                    </w:rPr>
                    <w:t>。</w:t>
                  </w:r>
                  <w:r w:rsidRPr="00C37582">
                    <w:rPr>
                      <w:rFonts w:hint="eastAsia"/>
                      <w:sz w:val="26"/>
                      <w:szCs w:val="26"/>
                    </w:rPr>
                    <w:t>市は県に制度拡充の要請をして行くとしていますが、待ちの姿勢ではなく市独自でも</w:t>
                  </w:r>
                  <w:r w:rsidRPr="00C37582">
                    <w:rPr>
                      <w:rFonts w:hint="eastAsia"/>
                      <w:sz w:val="26"/>
                      <w:szCs w:val="26"/>
                    </w:rPr>
                    <w:t>2</w:t>
                  </w:r>
                  <w:r w:rsidRPr="00C37582">
                    <w:rPr>
                      <w:rFonts w:hint="eastAsia"/>
                      <w:sz w:val="26"/>
                      <w:szCs w:val="26"/>
                    </w:rPr>
                    <w:t>級手帳所持者を助成対象にする制度を策定していくべきです。</w:t>
                  </w:r>
                </w:p>
              </w:txbxContent>
            </v:textbox>
          </v:shape>
        </w:pict>
      </w:r>
      <w:r>
        <w:rPr>
          <w:noProof/>
        </w:rPr>
        <w:pict>
          <v:shape id="_x0000_s1031" type="#_x0000_t202" style="position:absolute;left:0;text-align:left;margin-left:433.5pt;margin-top:390.15pt;width:79.05pt;height:368.1pt;z-index:251666432" strokeweight="2pt">
            <v:stroke dashstyle="1 1"/>
            <v:textbox style="layout-flow:vertical-ideographic;mso-next-textbox:#_x0000_s1031" inset="5.85pt,.7pt,5.85pt,.7pt">
              <w:txbxContent>
                <w:p w:rsidR="0046215F" w:rsidRPr="00796D9E" w:rsidRDefault="0046215F">
                  <w:pPr>
                    <w:rPr>
                      <w:rFonts w:ascii="HG創英角ﾎﾟｯﾌﾟ体" w:eastAsia="HG創英角ﾎﾟｯﾌﾟ体"/>
                      <w:color w:val="FF0000"/>
                      <w:sz w:val="48"/>
                      <w:szCs w:val="48"/>
                    </w:rPr>
                  </w:pPr>
                  <w:r w:rsidRPr="00796D9E">
                    <w:rPr>
                      <w:rFonts w:ascii="HG創英角ﾎﾟｯﾌﾟ体" w:eastAsia="HG創英角ﾎﾟｯﾌﾟ体" w:hint="eastAsia"/>
                      <w:color w:val="FF0000"/>
                      <w:sz w:val="48"/>
                      <w:szCs w:val="48"/>
                    </w:rPr>
                    <w:t>精神障害者医療費助成制度</w:t>
                  </w:r>
                </w:p>
                <w:p w:rsidR="0046215F" w:rsidRPr="00796D9E" w:rsidRDefault="0046215F">
                  <w:pPr>
                    <w:rPr>
                      <w:rFonts w:ascii="HG創英角ﾎﾟｯﾌﾟ体" w:eastAsia="HG創英角ﾎﾟｯﾌﾟ体"/>
                      <w:color w:val="FF0000"/>
                      <w:sz w:val="48"/>
                      <w:szCs w:val="48"/>
                    </w:rPr>
                  </w:pPr>
                  <w:r w:rsidRPr="00796D9E">
                    <w:rPr>
                      <w:rFonts w:ascii="HG創英角ﾎﾟｯﾌﾟ体" w:eastAsia="HG創英角ﾎﾟｯﾌﾟ体" w:hint="eastAsia"/>
                      <w:color w:val="FF0000"/>
                      <w:sz w:val="48"/>
                      <w:szCs w:val="48"/>
                    </w:rPr>
                    <w:t xml:space="preserve">　</w:t>
                  </w:r>
                  <w:r w:rsidR="00C37582" w:rsidRPr="00796D9E">
                    <w:rPr>
                      <w:rFonts w:ascii="HG創英角ﾎﾟｯﾌﾟ体" w:eastAsia="HG創英角ﾎﾟｯﾌﾟ体" w:hint="eastAsia"/>
                      <w:color w:val="FF0000"/>
                      <w:sz w:val="48"/>
                      <w:szCs w:val="48"/>
                    </w:rPr>
                    <w:t xml:space="preserve">　　</w:t>
                  </w:r>
                  <w:r w:rsidR="00BB5CA2" w:rsidRPr="00796D9E">
                    <w:rPr>
                      <w:rFonts w:ascii="HG創英角ﾎﾟｯﾌﾟ体" w:eastAsia="HG創英角ﾎﾟｯﾌﾟ体" w:hint="eastAsia"/>
                      <w:color w:val="FF0000"/>
                      <w:sz w:val="48"/>
                      <w:szCs w:val="48"/>
                    </w:rPr>
                    <w:t xml:space="preserve">　</w:t>
                  </w:r>
                  <w:r w:rsidRPr="00796D9E">
                    <w:rPr>
                      <w:rFonts w:ascii="HG創英角ﾎﾟｯﾌﾟ体" w:eastAsia="HG創英角ﾎﾟｯﾌﾟ体" w:hint="eastAsia"/>
                      <w:color w:val="FF0000"/>
                      <w:sz w:val="48"/>
                      <w:szCs w:val="48"/>
                    </w:rPr>
                    <w:t>２級以下も助成対象に！</w:t>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164.7pt;margin-top:448.2pt;width:167.4pt;height:33.75pt;z-index:251671552" adj="25832,8864" filled="f" strokeweight="1.5pt">
            <v:textbox style="mso-next-textbox:#_x0000_s1038" inset="5.85pt,.7pt,5.85pt,.7pt">
              <w:txbxContent>
                <w:p w:rsidR="00F16208" w:rsidRDefault="00F16208"/>
              </w:txbxContent>
            </v:textbox>
          </v:shape>
        </w:pict>
      </w:r>
      <w:r>
        <w:rPr>
          <w:noProof/>
        </w:rPr>
        <w:pict>
          <v:shape id="_x0000_s1041" type="#_x0000_t202" style="position:absolute;left:0;text-align:left;margin-left:-4.95pt;margin-top:404.55pt;width:93.6pt;height:24.3pt;z-index:251675648" strokecolor="white [3212]">
            <v:textbox style="mso-next-textbox:#_x0000_s1041" inset="5.85pt,.7pt,5.85pt,.7pt">
              <w:txbxContent>
                <w:p w:rsidR="00F16208" w:rsidRPr="00F16208" w:rsidRDefault="00F16208">
                  <w:pPr>
                    <w:rPr>
                      <w:bdr w:val="single" w:sz="4" w:space="0" w:color="auto"/>
                    </w:rPr>
                  </w:pPr>
                  <w:r w:rsidRPr="00F16208">
                    <w:rPr>
                      <w:rFonts w:hint="eastAsia"/>
                      <w:bdr w:val="single" w:sz="4" w:space="0" w:color="auto"/>
                    </w:rPr>
                    <w:t>今回助成対象に</w:t>
                  </w:r>
                </w:p>
              </w:txbxContent>
            </v:textbox>
          </v:shape>
        </w:pict>
      </w:r>
      <w:r>
        <w:rPr>
          <w:noProof/>
        </w:rPr>
        <w:pict>
          <v:shape id="_x0000_s1042" type="#_x0000_t62" style="position:absolute;left:0;text-align:left;margin-left:260.8pt;margin-top:431.1pt;width:68.9pt;height:13.5pt;z-index:251676672" adj="32290,8640" filled="f" strokeweight="1.5pt">
            <v:stroke dashstyle="1 1"/>
            <v:textbox style="mso-next-textbox:#_x0000_s1042" inset="5.85pt,.7pt,5.85pt,.7pt">
              <w:txbxContent>
                <w:p w:rsidR="00F16208" w:rsidRDefault="00F16208"/>
              </w:txbxContent>
            </v:textbox>
          </v:shape>
        </w:pict>
      </w:r>
      <w:r>
        <w:rPr>
          <w:noProof/>
        </w:rPr>
        <w:pict>
          <v:shape id="_x0000_s1040" type="#_x0000_t62" style="position:absolute;left:0;text-align:left;margin-left:164.7pt;margin-top:431.1pt;width:66.6pt;height:13.5pt;z-index:251674624" adj="-23708,-23040" filled="f" strokeweight="1.5pt">
            <v:textbox style="mso-next-textbox:#_x0000_s1040" inset="5.85pt,.7pt,5.85pt,.7pt">
              <w:txbxContent>
                <w:p w:rsidR="00F16208" w:rsidRDefault="00F16208"/>
              </w:txbxContent>
            </v:textbox>
          </v:shape>
        </w:pict>
      </w:r>
      <w:r>
        <w:rPr>
          <w:noProof/>
        </w:rPr>
        <w:pict>
          <v:shape id="_x0000_s1034" type="#_x0000_t202" style="position:absolute;left:0;text-align:left;margin-left:95.95pt;margin-top:390.15pt;width:262.7pt;height:94.5pt;z-index:251670528" strokecolor="white [3212]">
            <v:textbox style="mso-next-textbox:#_x0000_s1034" inset="5.85pt,.7pt,5.85pt,.7pt">
              <w:txbxContent>
                <w:p w:rsidR="00F16208" w:rsidRPr="00F16208" w:rsidRDefault="00F16208" w:rsidP="00F16208">
                  <w:pPr>
                    <w:jc w:val="center"/>
                    <w:rPr>
                      <w:b/>
                      <w:sz w:val="24"/>
                      <w:szCs w:val="24"/>
                    </w:rPr>
                  </w:pPr>
                  <w:r w:rsidRPr="00F16208">
                    <w:rPr>
                      <w:rFonts w:hint="eastAsia"/>
                      <w:b/>
                      <w:sz w:val="24"/>
                      <w:szCs w:val="24"/>
                    </w:rPr>
                    <w:t>藤枝市の３障害、</w:t>
                  </w:r>
                  <w:r w:rsidRPr="00F16208">
                    <w:rPr>
                      <w:rFonts w:hint="eastAsia"/>
                      <w:b/>
                      <w:sz w:val="24"/>
                      <w:szCs w:val="24"/>
                    </w:rPr>
                    <w:t>1</w:t>
                  </w:r>
                  <w:r w:rsidRPr="00F16208">
                    <w:rPr>
                      <w:rFonts w:hint="eastAsia"/>
                      <w:b/>
                      <w:sz w:val="24"/>
                      <w:szCs w:val="24"/>
                    </w:rPr>
                    <w:t>・</w:t>
                  </w:r>
                  <w:r w:rsidRPr="00F16208">
                    <w:rPr>
                      <w:rFonts w:hint="eastAsia"/>
                      <w:b/>
                      <w:sz w:val="24"/>
                      <w:szCs w:val="24"/>
                    </w:rPr>
                    <w:t>2</w:t>
                  </w:r>
                  <w:r w:rsidRPr="00F16208">
                    <w:rPr>
                      <w:rFonts w:hint="eastAsia"/>
                      <w:b/>
                      <w:sz w:val="24"/>
                      <w:szCs w:val="24"/>
                    </w:rPr>
                    <w:t>級者数</w:t>
                  </w:r>
                </w:p>
                <w:tbl>
                  <w:tblPr>
                    <w:tblStyle w:val="a6"/>
                    <w:tblW w:w="0" w:type="auto"/>
                    <w:tblLook w:val="04A0"/>
                  </w:tblPr>
                  <w:tblGrid>
                    <w:gridCol w:w="1075"/>
                    <w:gridCol w:w="1868"/>
                    <w:gridCol w:w="2127"/>
                  </w:tblGrid>
                  <w:tr w:rsidR="00F778A8" w:rsidTr="00F16208">
                    <w:tc>
                      <w:tcPr>
                        <w:tcW w:w="1075" w:type="dxa"/>
                      </w:tcPr>
                      <w:p w:rsidR="00F778A8" w:rsidRPr="00F778A8" w:rsidRDefault="00F778A8" w:rsidP="00F778A8">
                        <w:pPr>
                          <w:jc w:val="center"/>
                          <w:rPr>
                            <w:sz w:val="18"/>
                            <w:szCs w:val="18"/>
                          </w:rPr>
                        </w:pPr>
                      </w:p>
                    </w:tc>
                    <w:tc>
                      <w:tcPr>
                        <w:tcW w:w="1868" w:type="dxa"/>
                      </w:tcPr>
                      <w:p w:rsidR="00F778A8" w:rsidRPr="00073F3D" w:rsidRDefault="00F778A8" w:rsidP="00F778A8">
                        <w:pPr>
                          <w:jc w:val="center"/>
                          <w:rPr>
                            <w:w w:val="150"/>
                            <w:sz w:val="22"/>
                          </w:rPr>
                        </w:pPr>
                        <w:r w:rsidRPr="00073F3D">
                          <w:rPr>
                            <w:rFonts w:hint="eastAsia"/>
                            <w:w w:val="150"/>
                            <w:sz w:val="22"/>
                          </w:rPr>
                          <w:t>1</w:t>
                        </w:r>
                        <w:r w:rsidRPr="00073F3D">
                          <w:rPr>
                            <w:rFonts w:hint="eastAsia"/>
                            <w:w w:val="150"/>
                            <w:sz w:val="22"/>
                          </w:rPr>
                          <w:t>級</w:t>
                        </w:r>
                      </w:p>
                    </w:tc>
                    <w:tc>
                      <w:tcPr>
                        <w:tcW w:w="2127" w:type="dxa"/>
                      </w:tcPr>
                      <w:p w:rsidR="00F778A8" w:rsidRPr="00073F3D" w:rsidRDefault="00F778A8" w:rsidP="00F778A8">
                        <w:pPr>
                          <w:jc w:val="center"/>
                          <w:rPr>
                            <w:w w:val="150"/>
                            <w:sz w:val="22"/>
                          </w:rPr>
                        </w:pPr>
                        <w:r w:rsidRPr="00073F3D">
                          <w:rPr>
                            <w:rFonts w:hint="eastAsia"/>
                            <w:w w:val="150"/>
                            <w:sz w:val="22"/>
                          </w:rPr>
                          <w:t>2</w:t>
                        </w:r>
                        <w:r w:rsidRPr="00073F3D">
                          <w:rPr>
                            <w:rFonts w:hint="eastAsia"/>
                            <w:w w:val="150"/>
                            <w:sz w:val="22"/>
                          </w:rPr>
                          <w:t>級</w:t>
                        </w:r>
                      </w:p>
                    </w:tc>
                  </w:tr>
                  <w:tr w:rsidR="00F778A8" w:rsidTr="00F16208">
                    <w:tc>
                      <w:tcPr>
                        <w:tcW w:w="1075" w:type="dxa"/>
                      </w:tcPr>
                      <w:p w:rsidR="00F778A8" w:rsidRPr="00F778A8" w:rsidRDefault="00F778A8" w:rsidP="00F778A8">
                        <w:pPr>
                          <w:jc w:val="center"/>
                          <w:rPr>
                            <w:sz w:val="18"/>
                            <w:szCs w:val="18"/>
                          </w:rPr>
                        </w:pPr>
                        <w:r w:rsidRPr="00F778A8">
                          <w:rPr>
                            <w:rFonts w:hint="eastAsia"/>
                            <w:sz w:val="18"/>
                            <w:szCs w:val="18"/>
                          </w:rPr>
                          <w:t>精神障害</w:t>
                        </w:r>
                      </w:p>
                    </w:tc>
                    <w:tc>
                      <w:tcPr>
                        <w:tcW w:w="1868" w:type="dxa"/>
                      </w:tcPr>
                      <w:p w:rsidR="00F778A8" w:rsidRPr="00073F3D" w:rsidRDefault="00F778A8" w:rsidP="00F778A8">
                        <w:pPr>
                          <w:jc w:val="center"/>
                          <w:rPr>
                            <w:w w:val="150"/>
                            <w:sz w:val="22"/>
                          </w:rPr>
                        </w:pPr>
                        <w:r w:rsidRPr="00073F3D">
                          <w:rPr>
                            <w:rFonts w:hint="eastAsia"/>
                            <w:w w:val="150"/>
                            <w:sz w:val="22"/>
                          </w:rPr>
                          <w:t>76</w:t>
                        </w:r>
                        <w:r w:rsidRPr="00073F3D">
                          <w:rPr>
                            <w:rFonts w:hint="eastAsia"/>
                            <w:w w:val="150"/>
                            <w:sz w:val="22"/>
                          </w:rPr>
                          <w:t>名</w:t>
                        </w:r>
                      </w:p>
                    </w:tc>
                    <w:tc>
                      <w:tcPr>
                        <w:tcW w:w="2127" w:type="dxa"/>
                      </w:tcPr>
                      <w:p w:rsidR="00F778A8" w:rsidRPr="00073F3D" w:rsidRDefault="00F778A8" w:rsidP="00F778A8">
                        <w:pPr>
                          <w:jc w:val="center"/>
                          <w:rPr>
                            <w:w w:val="150"/>
                            <w:sz w:val="22"/>
                          </w:rPr>
                        </w:pPr>
                        <w:r w:rsidRPr="00073F3D">
                          <w:rPr>
                            <w:rFonts w:hint="eastAsia"/>
                            <w:w w:val="150"/>
                            <w:sz w:val="22"/>
                          </w:rPr>
                          <w:t>440</w:t>
                        </w:r>
                        <w:r w:rsidRPr="00073F3D">
                          <w:rPr>
                            <w:rFonts w:hint="eastAsia"/>
                            <w:w w:val="150"/>
                            <w:sz w:val="22"/>
                          </w:rPr>
                          <w:t>名</w:t>
                        </w:r>
                      </w:p>
                    </w:tc>
                  </w:tr>
                  <w:tr w:rsidR="00F778A8" w:rsidTr="00F16208">
                    <w:tc>
                      <w:tcPr>
                        <w:tcW w:w="1075" w:type="dxa"/>
                      </w:tcPr>
                      <w:p w:rsidR="00F778A8" w:rsidRPr="00F778A8" w:rsidRDefault="00F778A8" w:rsidP="00F778A8">
                        <w:pPr>
                          <w:jc w:val="center"/>
                          <w:rPr>
                            <w:sz w:val="18"/>
                            <w:szCs w:val="18"/>
                          </w:rPr>
                        </w:pPr>
                        <w:r w:rsidRPr="00F778A8">
                          <w:rPr>
                            <w:rFonts w:hint="eastAsia"/>
                            <w:sz w:val="18"/>
                            <w:szCs w:val="18"/>
                          </w:rPr>
                          <w:t>知的障害</w:t>
                        </w:r>
                      </w:p>
                    </w:tc>
                    <w:tc>
                      <w:tcPr>
                        <w:tcW w:w="1868" w:type="dxa"/>
                      </w:tcPr>
                      <w:p w:rsidR="00F778A8" w:rsidRPr="00073F3D" w:rsidRDefault="00F778A8" w:rsidP="00F778A8">
                        <w:pPr>
                          <w:jc w:val="center"/>
                          <w:rPr>
                            <w:w w:val="150"/>
                            <w:sz w:val="22"/>
                          </w:rPr>
                        </w:pPr>
                        <w:r w:rsidRPr="00073F3D">
                          <w:rPr>
                            <w:rFonts w:hint="eastAsia"/>
                            <w:w w:val="150"/>
                            <w:sz w:val="22"/>
                          </w:rPr>
                          <w:t>370</w:t>
                        </w:r>
                        <w:r w:rsidRPr="00073F3D">
                          <w:rPr>
                            <w:rFonts w:hint="eastAsia"/>
                            <w:w w:val="150"/>
                            <w:sz w:val="22"/>
                          </w:rPr>
                          <w:t>名</w:t>
                        </w:r>
                      </w:p>
                    </w:tc>
                    <w:tc>
                      <w:tcPr>
                        <w:tcW w:w="2127" w:type="dxa"/>
                      </w:tcPr>
                      <w:p w:rsidR="00F778A8" w:rsidRPr="00073F3D" w:rsidRDefault="00F778A8" w:rsidP="00F778A8">
                        <w:pPr>
                          <w:jc w:val="center"/>
                          <w:rPr>
                            <w:w w:val="150"/>
                            <w:sz w:val="22"/>
                          </w:rPr>
                        </w:pPr>
                        <w:r w:rsidRPr="00073F3D">
                          <w:rPr>
                            <w:rFonts w:hint="eastAsia"/>
                            <w:w w:val="150"/>
                            <w:sz w:val="22"/>
                          </w:rPr>
                          <w:t>678</w:t>
                        </w:r>
                        <w:r w:rsidRPr="00073F3D">
                          <w:rPr>
                            <w:rFonts w:hint="eastAsia"/>
                            <w:w w:val="150"/>
                            <w:sz w:val="22"/>
                          </w:rPr>
                          <w:t>名</w:t>
                        </w:r>
                      </w:p>
                    </w:tc>
                  </w:tr>
                  <w:tr w:rsidR="00F778A8" w:rsidTr="00F16208">
                    <w:tc>
                      <w:tcPr>
                        <w:tcW w:w="1075" w:type="dxa"/>
                      </w:tcPr>
                      <w:p w:rsidR="00F778A8" w:rsidRPr="00F778A8" w:rsidRDefault="00F778A8" w:rsidP="00F778A8">
                        <w:pPr>
                          <w:jc w:val="center"/>
                          <w:rPr>
                            <w:sz w:val="18"/>
                            <w:szCs w:val="18"/>
                          </w:rPr>
                        </w:pPr>
                        <w:r w:rsidRPr="00F778A8">
                          <w:rPr>
                            <w:rFonts w:hint="eastAsia"/>
                            <w:sz w:val="18"/>
                            <w:szCs w:val="18"/>
                          </w:rPr>
                          <w:t>身体障害</w:t>
                        </w:r>
                      </w:p>
                    </w:tc>
                    <w:tc>
                      <w:tcPr>
                        <w:tcW w:w="1868" w:type="dxa"/>
                      </w:tcPr>
                      <w:p w:rsidR="00F778A8" w:rsidRPr="00073F3D" w:rsidRDefault="00F778A8" w:rsidP="00F778A8">
                        <w:pPr>
                          <w:jc w:val="center"/>
                          <w:rPr>
                            <w:w w:val="150"/>
                            <w:sz w:val="22"/>
                          </w:rPr>
                        </w:pPr>
                        <w:r w:rsidRPr="00073F3D">
                          <w:rPr>
                            <w:rFonts w:hint="eastAsia"/>
                            <w:w w:val="150"/>
                            <w:sz w:val="22"/>
                          </w:rPr>
                          <w:t>1543</w:t>
                        </w:r>
                        <w:r w:rsidRPr="00073F3D">
                          <w:rPr>
                            <w:rFonts w:hint="eastAsia"/>
                            <w:w w:val="150"/>
                            <w:sz w:val="22"/>
                          </w:rPr>
                          <w:t>名</w:t>
                        </w:r>
                      </w:p>
                    </w:tc>
                    <w:tc>
                      <w:tcPr>
                        <w:tcW w:w="2127" w:type="dxa"/>
                      </w:tcPr>
                      <w:p w:rsidR="00F778A8" w:rsidRPr="00073F3D" w:rsidRDefault="00F778A8" w:rsidP="00F778A8">
                        <w:pPr>
                          <w:jc w:val="center"/>
                          <w:rPr>
                            <w:w w:val="150"/>
                            <w:sz w:val="22"/>
                          </w:rPr>
                        </w:pPr>
                        <w:r w:rsidRPr="00073F3D">
                          <w:rPr>
                            <w:rFonts w:hint="eastAsia"/>
                            <w:w w:val="150"/>
                            <w:sz w:val="22"/>
                          </w:rPr>
                          <w:t>637</w:t>
                        </w:r>
                        <w:r w:rsidRPr="00073F3D">
                          <w:rPr>
                            <w:rFonts w:hint="eastAsia"/>
                            <w:w w:val="150"/>
                            <w:sz w:val="22"/>
                          </w:rPr>
                          <w:t>名</w:t>
                        </w:r>
                      </w:p>
                    </w:tc>
                  </w:tr>
                </w:tbl>
                <w:p w:rsidR="00F778A8" w:rsidRPr="00073F3D" w:rsidRDefault="00F778A8" w:rsidP="00F16208">
                  <w:pPr>
                    <w:rPr>
                      <w:w w:val="150"/>
                    </w:rPr>
                  </w:pPr>
                </w:p>
              </w:txbxContent>
            </v:textbox>
          </v:shape>
        </w:pict>
      </w:r>
      <w:r>
        <w:rPr>
          <w:noProof/>
        </w:rPr>
        <w:pict>
          <v:shape id="_x0000_s1026" type="#_x0000_t202" style="position:absolute;left:0;text-align:left;margin-left:-9pt;margin-top:3.1pt;width:269.95pt;height:49.1pt;z-index:251660288;mso-width-relative:margin;mso-height-relative:margin" strokecolor="white [3212]">
            <v:textbox>
              <w:txbxContent>
                <w:p w:rsidR="00D8028B" w:rsidRPr="00796D9E" w:rsidRDefault="00073F3D">
                  <w:pPr>
                    <w:rPr>
                      <w:color w:val="FF0000"/>
                    </w:rPr>
                  </w:pPr>
                  <w:r w:rsidRPr="00796D9E">
                    <w:rPr>
                      <w:rFonts w:ascii="HG創英角ﾎﾟｯﾌﾟ体" w:eastAsia="HG創英角ﾎﾟｯﾌﾟ体" w:hint="eastAsia"/>
                      <w:color w:val="FF0000"/>
                      <w:sz w:val="52"/>
                      <w:szCs w:val="52"/>
                    </w:rPr>
                    <w:t>「</w:t>
                  </w:r>
                  <w:r w:rsidR="00D8028B" w:rsidRPr="00796D9E">
                    <w:rPr>
                      <w:rFonts w:ascii="HG創英角ﾎﾟｯﾌﾟ体" w:eastAsia="HG創英角ﾎﾟｯﾌﾟ体" w:hint="eastAsia"/>
                      <w:color w:val="FF0000"/>
                      <w:sz w:val="52"/>
                      <w:szCs w:val="52"/>
                    </w:rPr>
                    <w:t>買</w:t>
                  </w:r>
                  <w:r w:rsidR="0046215F" w:rsidRPr="00796D9E">
                    <w:rPr>
                      <w:rFonts w:ascii="HG創英角ﾎﾟｯﾌﾟ体" w:eastAsia="HG創英角ﾎﾟｯﾌﾟ体" w:hint="eastAsia"/>
                      <w:color w:val="FF0000"/>
                      <w:sz w:val="52"/>
                      <w:szCs w:val="52"/>
                    </w:rPr>
                    <w:t>い</w:t>
                  </w:r>
                  <w:r w:rsidR="00D8028B" w:rsidRPr="00796D9E">
                    <w:rPr>
                      <w:rFonts w:ascii="HG創英角ﾎﾟｯﾌﾟ体" w:eastAsia="HG創英角ﾎﾟｯﾌﾟ体" w:hint="eastAsia"/>
                      <w:color w:val="FF0000"/>
                      <w:sz w:val="52"/>
                      <w:szCs w:val="52"/>
                    </w:rPr>
                    <w:t>物弱者</w:t>
                  </w:r>
                  <w:r w:rsidRPr="00796D9E">
                    <w:rPr>
                      <w:rFonts w:ascii="HG創英角ﾎﾟｯﾌﾟ体" w:eastAsia="HG創英角ﾎﾟｯﾌﾟ体" w:hint="eastAsia"/>
                      <w:color w:val="FF0000"/>
                      <w:sz w:val="52"/>
                      <w:szCs w:val="52"/>
                    </w:rPr>
                    <w:t>」</w:t>
                  </w:r>
                  <w:r w:rsidR="00D8028B" w:rsidRPr="00796D9E">
                    <w:rPr>
                      <w:rFonts w:hint="eastAsia"/>
                      <w:b/>
                      <w:color w:val="E36C0A" w:themeColor="accent6" w:themeShade="BF"/>
                      <w:sz w:val="28"/>
                      <w:szCs w:val="28"/>
                    </w:rPr>
                    <w:t>対策を急げ</w:t>
                  </w:r>
                </w:p>
              </w:txbxContent>
            </v:textbox>
          </v:shape>
        </w:pict>
      </w:r>
      <w:r>
        <w:rPr>
          <w:noProof/>
        </w:rPr>
        <w:pict>
          <v:shape id="_x0000_s1030" type="#_x0000_t202" style="position:absolute;left:0;text-align:left;margin-left:4.5pt;margin-top:289.8pt;width:508.5pt;height:89.1pt;z-index:251665408">
            <v:textbox inset="5.85pt,.7pt,5.85pt,.7pt">
              <w:txbxContent>
                <w:p w:rsidR="00073F3D" w:rsidRPr="00194E7E" w:rsidRDefault="00073F3D" w:rsidP="00073F3D">
                  <w:pPr>
                    <w:spacing w:line="280" w:lineRule="exact"/>
                    <w:rPr>
                      <w:rFonts w:ascii="HG創英角ﾎﾟｯﾌﾟ体" w:eastAsia="HG創英角ﾎﾟｯﾌﾟ体" w:hint="eastAsia"/>
                      <w:sz w:val="24"/>
                      <w:szCs w:val="24"/>
                    </w:rPr>
                  </w:pPr>
                  <w:r w:rsidRPr="00194E7E">
                    <w:rPr>
                      <w:rFonts w:ascii="HG創英角ﾎﾟｯﾌﾟ体" w:eastAsia="HG創英角ﾎﾟｯﾌﾟ体" w:hint="eastAsia"/>
                      <w:sz w:val="24"/>
                      <w:szCs w:val="24"/>
                    </w:rPr>
                    <w:t>6月議会一般質問での提言</w:t>
                  </w:r>
                </w:p>
                <w:p w:rsidR="009E2A14" w:rsidRDefault="009E2A14" w:rsidP="00073F3D">
                  <w:pPr>
                    <w:pStyle w:val="a5"/>
                    <w:numPr>
                      <w:ilvl w:val="0"/>
                      <w:numId w:val="1"/>
                    </w:numPr>
                    <w:spacing w:line="280" w:lineRule="exact"/>
                    <w:ind w:leftChars="0"/>
                  </w:pPr>
                  <w:r>
                    <w:rPr>
                      <w:rFonts w:hint="eastAsia"/>
                    </w:rPr>
                    <w:t>白子商店街が行っている出張商店街</w:t>
                  </w:r>
                  <w:r w:rsidR="0046215F">
                    <w:rPr>
                      <w:rFonts w:hint="eastAsia"/>
                    </w:rPr>
                    <w:t>のような取組みに対し</w:t>
                  </w:r>
                  <w:r>
                    <w:rPr>
                      <w:rFonts w:hint="eastAsia"/>
                    </w:rPr>
                    <w:t>、地域の農家の方が</w:t>
                  </w:r>
                  <w:r>
                    <w:rPr>
                      <w:rFonts w:hint="eastAsia"/>
                    </w:rPr>
                    <w:t>100</w:t>
                  </w:r>
                  <w:r>
                    <w:rPr>
                      <w:rFonts w:hint="eastAsia"/>
                    </w:rPr>
                    <w:t>円で売っている野菜などを出店出来るような地域一帯の仕組みづくりをするべき</w:t>
                  </w:r>
                  <w:r w:rsidR="0046215F">
                    <w:rPr>
                      <w:rFonts w:hint="eastAsia"/>
                    </w:rPr>
                    <w:t>だ。</w:t>
                  </w:r>
                </w:p>
                <w:p w:rsidR="009E2A14" w:rsidRDefault="009E2A14" w:rsidP="00073F3D">
                  <w:pPr>
                    <w:pStyle w:val="a5"/>
                    <w:numPr>
                      <w:ilvl w:val="0"/>
                      <w:numId w:val="1"/>
                    </w:numPr>
                    <w:spacing w:line="280" w:lineRule="exact"/>
                    <w:ind w:leftChars="0" w:left="357" w:hanging="357"/>
                  </w:pPr>
                  <w:r>
                    <w:rPr>
                      <w:rFonts w:hint="eastAsia"/>
                    </w:rPr>
                    <w:t>買物だけに利用を限った自主運行バス割安定期券制度を導入して、商店に出かけやすくするようにすればバスの乗車人員も増加する</w:t>
                  </w:r>
                  <w:r w:rsidR="0046215F">
                    <w:rPr>
                      <w:rFonts w:hint="eastAsia"/>
                    </w:rPr>
                    <w:t>はずだ。</w:t>
                  </w:r>
                </w:p>
                <w:p w:rsidR="009E2A14" w:rsidRDefault="009E2A14" w:rsidP="00073F3D">
                  <w:pPr>
                    <w:pStyle w:val="a5"/>
                    <w:numPr>
                      <w:ilvl w:val="0"/>
                      <w:numId w:val="1"/>
                    </w:numPr>
                    <w:spacing w:line="280" w:lineRule="exact"/>
                    <w:ind w:leftChars="0" w:left="357" w:hanging="357"/>
                  </w:pPr>
                  <w:r>
                    <w:rPr>
                      <w:rFonts w:hint="eastAsia"/>
                    </w:rPr>
                    <w:t>大型店に</w:t>
                  </w:r>
                  <w:r w:rsidR="0046215F">
                    <w:rPr>
                      <w:rFonts w:hint="eastAsia"/>
                    </w:rPr>
                    <w:t>も社会的責任はあるわけだから、買物弱者対策の協議の場に参加させていくべきだ。</w:t>
                  </w:r>
                </w:p>
              </w:txbxContent>
            </v:textbox>
          </v:shape>
        </w:pict>
      </w:r>
      <w:r>
        <w:rPr>
          <w:noProof/>
        </w:rPr>
        <w:pict>
          <v:shape id="_x0000_s1028" type="#_x0000_t202" style="position:absolute;left:0;text-align:left;margin-left:266.4pt;margin-top:3.1pt;width:246.15pt;height:231.35pt;z-index:251663360">
            <v:textbox inset="5.85pt,.7pt,5.85pt,.7pt">
              <w:txbxContent>
                <w:p w:rsidR="00D8028B" w:rsidRDefault="00D8028B"/>
              </w:txbxContent>
            </v:textbox>
          </v:shape>
        </w:pict>
      </w:r>
      <w:r>
        <w:rPr>
          <w:noProof/>
        </w:rPr>
        <w:pict>
          <v:shape id="_x0000_s1027" type="#_x0000_t202" style="position:absolute;left:0;text-align:left;margin-left:266.8pt;margin-top:241.35pt;width:246.6pt;height:43.95pt;z-index:251662336;mso-height-percent:200;mso-height-percent:200;mso-width-relative:margin;mso-height-relative:margin">
            <v:textbox style="mso-fit-shape-to-text:t">
              <w:txbxContent>
                <w:p w:rsidR="00D8028B" w:rsidRDefault="00194E7E" w:rsidP="00194E7E">
                  <w:pPr>
                    <w:spacing w:line="200" w:lineRule="exact"/>
                    <w:rPr>
                      <w:sz w:val="16"/>
                      <w:szCs w:val="16"/>
                    </w:rPr>
                  </w:pPr>
                  <w:r>
                    <w:rPr>
                      <w:rFonts w:hint="eastAsia"/>
                      <w:sz w:val="16"/>
                      <w:szCs w:val="16"/>
                    </w:rPr>
                    <w:t>駅周辺や田沼周辺（上側部分）には商店が密集していますが、</w:t>
                  </w:r>
                  <w:r w:rsidR="00D8028B" w:rsidRPr="00D8028B">
                    <w:rPr>
                      <w:rFonts w:hint="eastAsia"/>
                      <w:sz w:val="16"/>
                      <w:szCs w:val="16"/>
                    </w:rPr>
                    <w:t>泉町や高洲南地区</w:t>
                  </w:r>
                  <w:r>
                    <w:rPr>
                      <w:rFonts w:hint="eastAsia"/>
                      <w:sz w:val="16"/>
                      <w:szCs w:val="16"/>
                    </w:rPr>
                    <w:t>（真ん中部分）には</w:t>
                  </w:r>
                  <w:r w:rsidR="00D8028B" w:rsidRPr="00D8028B">
                    <w:rPr>
                      <w:rFonts w:hint="eastAsia"/>
                      <w:sz w:val="16"/>
                      <w:szCs w:val="16"/>
                    </w:rPr>
                    <w:t>商店がほとんどありません</w:t>
                  </w:r>
                </w:p>
                <w:p w:rsidR="00D8028B" w:rsidRPr="00D8028B" w:rsidRDefault="00194E7E" w:rsidP="00194E7E">
                  <w:pPr>
                    <w:spacing w:line="200" w:lineRule="exact"/>
                    <w:rPr>
                      <w:sz w:val="16"/>
                      <w:szCs w:val="16"/>
                    </w:rPr>
                  </w:pPr>
                  <w:r>
                    <w:rPr>
                      <w:rFonts w:hint="eastAsia"/>
                      <w:sz w:val="16"/>
                      <w:szCs w:val="16"/>
                    </w:rPr>
                    <w:t>※</w:t>
                  </w:r>
                  <w:r w:rsidR="00D8028B">
                    <w:rPr>
                      <w:rFonts w:hint="eastAsia"/>
                      <w:sz w:val="16"/>
                      <w:szCs w:val="16"/>
                    </w:rPr>
                    <w:t>円は半径</w:t>
                  </w:r>
                  <w:r w:rsidR="00D8028B">
                    <w:rPr>
                      <w:rFonts w:hint="eastAsia"/>
                      <w:sz w:val="16"/>
                      <w:szCs w:val="16"/>
                    </w:rPr>
                    <w:t>500</w:t>
                  </w:r>
                  <w:r w:rsidR="00D8028B">
                    <w:rPr>
                      <w:rFonts w:hint="eastAsia"/>
                      <w:sz w:val="16"/>
                      <w:szCs w:val="16"/>
                    </w:rPr>
                    <w:t>ｍを表します</w:t>
                  </w:r>
                  <w:r w:rsidR="00D8028B" w:rsidRPr="00D8028B">
                    <w:rPr>
                      <w:rFonts w:hint="eastAsia"/>
                      <w:sz w:val="16"/>
                      <w:szCs w:val="16"/>
                    </w:rPr>
                    <w:t>（藤枝市</w:t>
                  </w:r>
                  <w:r w:rsidR="00D8028B">
                    <w:rPr>
                      <w:rFonts w:hint="eastAsia"/>
                      <w:sz w:val="16"/>
                      <w:szCs w:val="16"/>
                    </w:rPr>
                    <w:t>が</w:t>
                  </w:r>
                  <w:r w:rsidR="00D8028B" w:rsidRPr="00D8028B">
                    <w:rPr>
                      <w:rFonts w:hint="eastAsia"/>
                      <w:sz w:val="16"/>
                      <w:szCs w:val="16"/>
                    </w:rPr>
                    <w:t>作成</w:t>
                  </w:r>
                  <w:r w:rsidR="00D8028B">
                    <w:rPr>
                      <w:rFonts w:hint="eastAsia"/>
                      <w:sz w:val="16"/>
                      <w:szCs w:val="16"/>
                    </w:rPr>
                    <w:t>した</w:t>
                  </w:r>
                  <w:r w:rsidR="00D8028B" w:rsidRPr="00D8028B">
                    <w:rPr>
                      <w:rFonts w:hint="eastAsia"/>
                      <w:sz w:val="16"/>
                      <w:szCs w:val="16"/>
                    </w:rPr>
                    <w:t>マップより抜粋）</w:t>
                  </w:r>
                </w:p>
              </w:txbxContent>
            </v:textbox>
          </v:shape>
        </w:pict>
      </w:r>
      <w:r>
        <w:rPr>
          <w:noProof/>
        </w:rPr>
        <w:pict>
          <v:shape id="_x0000_s1029" type="#_x0000_t202" style="position:absolute;left:0;text-align:left;margin-left:2.25pt;margin-top:41.85pt;width:258.7pt;height:243.45pt;z-index:251664384" strokecolor="white [3212]">
            <v:textbox inset="5.85pt,.7pt,5.85pt,.7pt">
              <w:txbxContent>
                <w:p w:rsidR="00073F3D" w:rsidRDefault="00D8028B" w:rsidP="00073F3D">
                  <w:pPr>
                    <w:spacing w:line="320" w:lineRule="exact"/>
                    <w:rPr>
                      <w:sz w:val="24"/>
                      <w:szCs w:val="24"/>
                    </w:rPr>
                  </w:pPr>
                  <w:r>
                    <w:rPr>
                      <w:rFonts w:hint="eastAsia"/>
                    </w:rPr>
                    <w:t xml:space="preserve">　</w:t>
                  </w:r>
                  <w:r w:rsidRPr="00073F3D">
                    <w:rPr>
                      <w:rFonts w:hint="eastAsia"/>
                      <w:sz w:val="24"/>
                      <w:szCs w:val="24"/>
                    </w:rPr>
                    <w:t>買</w:t>
                  </w:r>
                  <w:r w:rsidR="00073F3D">
                    <w:rPr>
                      <w:rFonts w:hint="eastAsia"/>
                      <w:sz w:val="24"/>
                      <w:szCs w:val="24"/>
                    </w:rPr>
                    <w:t>い</w:t>
                  </w:r>
                  <w:r w:rsidRPr="00073F3D">
                    <w:rPr>
                      <w:rFonts w:hint="eastAsia"/>
                      <w:sz w:val="24"/>
                      <w:szCs w:val="24"/>
                    </w:rPr>
                    <w:t>物弱者とは日常的な買い物</w:t>
                  </w:r>
                </w:p>
                <w:p w:rsidR="00073F3D" w:rsidRDefault="00D8028B" w:rsidP="00073F3D">
                  <w:pPr>
                    <w:spacing w:line="320" w:lineRule="exact"/>
                    <w:rPr>
                      <w:sz w:val="24"/>
                      <w:szCs w:val="24"/>
                    </w:rPr>
                  </w:pPr>
                  <w:r w:rsidRPr="00073F3D">
                    <w:rPr>
                      <w:rFonts w:hint="eastAsia"/>
                      <w:sz w:val="24"/>
                      <w:szCs w:val="24"/>
                    </w:rPr>
                    <w:t>が出来ない方を言います。</w:t>
                  </w:r>
                </w:p>
                <w:p w:rsidR="00073F3D" w:rsidRDefault="00D8028B" w:rsidP="00073F3D">
                  <w:pPr>
                    <w:spacing w:line="320" w:lineRule="exact"/>
                    <w:ind w:firstLineChars="100" w:firstLine="240"/>
                    <w:rPr>
                      <w:sz w:val="24"/>
                      <w:szCs w:val="24"/>
                    </w:rPr>
                  </w:pPr>
                  <w:r w:rsidRPr="00073F3D">
                    <w:rPr>
                      <w:rFonts w:hint="eastAsia"/>
                      <w:sz w:val="24"/>
                      <w:szCs w:val="24"/>
                    </w:rPr>
                    <w:t>近くにスーパー等の商店がなく</w:t>
                  </w:r>
                </w:p>
                <w:p w:rsidR="00073F3D" w:rsidRDefault="00D8028B" w:rsidP="00073F3D">
                  <w:pPr>
                    <w:spacing w:line="320" w:lineRule="exact"/>
                    <w:rPr>
                      <w:sz w:val="24"/>
                      <w:szCs w:val="24"/>
                    </w:rPr>
                  </w:pPr>
                  <w:r w:rsidRPr="00073F3D">
                    <w:rPr>
                      <w:rFonts w:hint="eastAsia"/>
                      <w:sz w:val="24"/>
                      <w:szCs w:val="24"/>
                    </w:rPr>
                    <w:t>車や自転車も運転できないお年</w:t>
                  </w:r>
                </w:p>
                <w:p w:rsidR="00D8028B" w:rsidRPr="00073F3D" w:rsidRDefault="00D8028B" w:rsidP="00073F3D">
                  <w:pPr>
                    <w:spacing w:line="320" w:lineRule="exact"/>
                    <w:rPr>
                      <w:sz w:val="24"/>
                      <w:szCs w:val="24"/>
                    </w:rPr>
                  </w:pPr>
                  <w:r w:rsidRPr="00073F3D">
                    <w:rPr>
                      <w:rFonts w:hint="eastAsia"/>
                      <w:sz w:val="24"/>
                      <w:szCs w:val="24"/>
                    </w:rPr>
                    <w:t>寄りや障害者の方</w:t>
                  </w:r>
                  <w:r w:rsidR="0046215F" w:rsidRPr="00073F3D">
                    <w:rPr>
                      <w:rFonts w:hint="eastAsia"/>
                      <w:sz w:val="24"/>
                      <w:szCs w:val="24"/>
                    </w:rPr>
                    <w:t>は</w:t>
                  </w:r>
                  <w:r w:rsidRPr="00073F3D">
                    <w:rPr>
                      <w:rFonts w:hint="eastAsia"/>
                      <w:sz w:val="24"/>
                      <w:szCs w:val="24"/>
                    </w:rPr>
                    <w:t>全国で推計</w:t>
                  </w:r>
                  <w:r w:rsidRPr="00073F3D">
                    <w:rPr>
                      <w:rFonts w:hint="eastAsia"/>
                      <w:sz w:val="24"/>
                      <w:szCs w:val="24"/>
                    </w:rPr>
                    <w:t>600</w:t>
                  </w:r>
                  <w:r w:rsidRPr="00073F3D">
                    <w:rPr>
                      <w:rFonts w:hint="eastAsia"/>
                      <w:sz w:val="24"/>
                      <w:szCs w:val="24"/>
                    </w:rPr>
                    <w:t>万人。藤枝市でも６</w:t>
                  </w:r>
                  <w:r w:rsidRPr="00073F3D">
                    <w:rPr>
                      <w:rFonts w:hint="eastAsia"/>
                      <w:sz w:val="24"/>
                      <w:szCs w:val="24"/>
                    </w:rPr>
                    <w:t>5</w:t>
                  </w:r>
                  <w:r w:rsidRPr="00073F3D">
                    <w:rPr>
                      <w:rFonts w:hint="eastAsia"/>
                      <w:sz w:val="24"/>
                      <w:szCs w:val="24"/>
                    </w:rPr>
                    <w:t>歳以上の半数以上の方が買い物に不自由を感じ</w:t>
                  </w:r>
                  <w:r w:rsidR="009E2A14" w:rsidRPr="00073F3D">
                    <w:rPr>
                      <w:rFonts w:hint="eastAsia"/>
                      <w:sz w:val="24"/>
                      <w:szCs w:val="24"/>
                    </w:rPr>
                    <w:t>て</w:t>
                  </w:r>
                  <w:r w:rsidR="00BB5CA2">
                    <w:rPr>
                      <w:rFonts w:hint="eastAsia"/>
                      <w:sz w:val="24"/>
                      <w:szCs w:val="24"/>
                    </w:rPr>
                    <w:t>い</w:t>
                  </w:r>
                  <w:r w:rsidR="009E2A14" w:rsidRPr="00073F3D">
                    <w:rPr>
                      <w:rFonts w:hint="eastAsia"/>
                      <w:sz w:val="24"/>
                      <w:szCs w:val="24"/>
                    </w:rPr>
                    <w:t>ます。</w:t>
                  </w:r>
                </w:p>
                <w:p w:rsidR="0046215F" w:rsidRPr="00073F3D" w:rsidRDefault="009E2A14" w:rsidP="00073F3D">
                  <w:pPr>
                    <w:spacing w:line="320" w:lineRule="exact"/>
                    <w:rPr>
                      <w:sz w:val="24"/>
                      <w:szCs w:val="24"/>
                    </w:rPr>
                  </w:pPr>
                  <w:r w:rsidRPr="00073F3D">
                    <w:rPr>
                      <w:rFonts w:hint="eastAsia"/>
                      <w:sz w:val="24"/>
                      <w:szCs w:val="24"/>
                    </w:rPr>
                    <w:t xml:space="preserve">　原因は、大型店の無秩序な出店退店を自由化した国の制度改悪にありますが、市も対策を講じる必要があります。</w:t>
                  </w:r>
                </w:p>
                <w:p w:rsidR="009E2A14" w:rsidRPr="00073F3D" w:rsidRDefault="0046215F" w:rsidP="00073F3D">
                  <w:pPr>
                    <w:spacing w:line="320" w:lineRule="exact"/>
                    <w:rPr>
                      <w:sz w:val="24"/>
                      <w:szCs w:val="24"/>
                    </w:rPr>
                  </w:pPr>
                  <w:r w:rsidRPr="00073F3D">
                    <w:rPr>
                      <w:rFonts w:hint="eastAsia"/>
                      <w:sz w:val="24"/>
                      <w:szCs w:val="24"/>
                    </w:rPr>
                    <w:t xml:space="preserve">　藤枝市は今年から前向きに買物弱者対策に取り組んでいます。私も自らが住んでいる地域の問題でもあります。今議会では、下記</w:t>
                  </w:r>
                  <w:r w:rsidRPr="00073F3D">
                    <w:rPr>
                      <w:rFonts w:hint="eastAsia"/>
                      <w:sz w:val="24"/>
                      <w:szCs w:val="24"/>
                    </w:rPr>
                    <w:t>3</w:t>
                  </w:r>
                  <w:r w:rsidRPr="00073F3D">
                    <w:rPr>
                      <w:rFonts w:hint="eastAsia"/>
                      <w:sz w:val="24"/>
                      <w:szCs w:val="24"/>
                    </w:rPr>
                    <w:t>点の提案を行いました。市も前向きに検討していくとしました。</w:t>
                  </w:r>
                </w:p>
              </w:txbxContent>
            </v:textbox>
          </v:shape>
        </w:pict>
      </w:r>
      <w:r>
        <w:rPr>
          <w:noProof/>
        </w:rPr>
        <w:pict>
          <v:shape id="_x0000_s1032" type="#_x0000_t202" style="position:absolute;left:0;text-align:left;margin-left:191.7pt;margin-top:39.15pt;width:64.35pt;height:65.7pt;z-index:251667456" strokecolor="white [3212]">
            <v:textbox inset="5.85pt,.7pt,5.85pt,.7pt">
              <w:txbxContent>
                <w:p w:rsidR="00F778A8" w:rsidRDefault="00F778A8">
                  <w:r>
                    <w:rPr>
                      <w:noProof/>
                    </w:rPr>
                    <w:drawing>
                      <wp:inline distT="0" distB="0" distL="0" distR="0">
                        <wp:extent cx="677545" cy="748665"/>
                        <wp:effectExtent l="19050" t="0" r="8255" b="0"/>
                        <wp:docPr id="1" name="図 0" descr="買物弱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買物弱者.jpg"/>
                                <pic:cNvPicPr/>
                              </pic:nvPicPr>
                              <pic:blipFill>
                                <a:blip r:embed="rId8"/>
                                <a:stretch>
                                  <a:fillRect/>
                                </a:stretch>
                              </pic:blipFill>
                              <pic:spPr>
                                <a:xfrm>
                                  <a:off x="0" y="0"/>
                                  <a:ext cx="679450" cy="750770"/>
                                </a:xfrm>
                                <a:prstGeom prst="rect">
                                  <a:avLst/>
                                </a:prstGeom>
                              </pic:spPr>
                            </pic:pic>
                          </a:graphicData>
                        </a:graphic>
                      </wp:inline>
                    </w:drawing>
                  </w:r>
                </w:p>
              </w:txbxContent>
            </v:textbox>
          </v:shape>
        </w:pict>
      </w:r>
    </w:p>
    <w:sectPr w:rsidR="008D4B82" w:rsidSect="00D8028B">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414" w:rsidRDefault="009E1414" w:rsidP="00796D9E">
      <w:r>
        <w:separator/>
      </w:r>
    </w:p>
  </w:endnote>
  <w:endnote w:type="continuationSeparator" w:id="0">
    <w:p w:rsidR="009E1414" w:rsidRDefault="009E1414" w:rsidP="00796D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414" w:rsidRDefault="009E1414" w:rsidP="00796D9E">
      <w:r>
        <w:separator/>
      </w:r>
    </w:p>
  </w:footnote>
  <w:footnote w:type="continuationSeparator" w:id="0">
    <w:p w:rsidR="009E1414" w:rsidRDefault="009E1414" w:rsidP="00796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272C1"/>
    <w:multiLevelType w:val="hybridMultilevel"/>
    <w:tmpl w:val="C3C282AE"/>
    <w:lvl w:ilvl="0" w:tplc="DF22C81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28B"/>
    <w:rsid w:val="00073F3D"/>
    <w:rsid w:val="00194E7E"/>
    <w:rsid w:val="0046215F"/>
    <w:rsid w:val="00602625"/>
    <w:rsid w:val="00723A66"/>
    <w:rsid w:val="00796D9E"/>
    <w:rsid w:val="008D4B82"/>
    <w:rsid w:val="009E1414"/>
    <w:rsid w:val="009E2A14"/>
    <w:rsid w:val="00A927D6"/>
    <w:rsid w:val="00BB5CA2"/>
    <w:rsid w:val="00C37582"/>
    <w:rsid w:val="00D8028B"/>
    <w:rsid w:val="00F16208"/>
    <w:rsid w:val="00F778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o:shapedefaults>
    <o:shapelayout v:ext="edit">
      <o:idmap v:ext="edit" data="1"/>
      <o:rules v:ext="edit">
        <o:r id="V:Rule1" type="callout" idref="#_x0000_s1038"/>
        <o:r id="V:Rule2" type="callout" idref="#_x0000_s1042"/>
        <o:r id="V:Rule3"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028B"/>
    <w:rPr>
      <w:rFonts w:asciiTheme="majorHAnsi" w:eastAsiaTheme="majorEastAsia" w:hAnsiTheme="majorHAnsi" w:cstheme="majorBidi"/>
      <w:sz w:val="18"/>
      <w:szCs w:val="18"/>
    </w:rPr>
  </w:style>
  <w:style w:type="paragraph" w:styleId="a5">
    <w:name w:val="List Paragraph"/>
    <w:basedOn w:val="a"/>
    <w:uiPriority w:val="34"/>
    <w:qFormat/>
    <w:rsid w:val="009E2A14"/>
    <w:pPr>
      <w:ind w:leftChars="400" w:left="840"/>
    </w:pPr>
  </w:style>
  <w:style w:type="table" w:styleId="a6">
    <w:name w:val="Table Grid"/>
    <w:basedOn w:val="a1"/>
    <w:uiPriority w:val="59"/>
    <w:rsid w:val="00F77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796D9E"/>
    <w:pPr>
      <w:tabs>
        <w:tab w:val="center" w:pos="4252"/>
        <w:tab w:val="right" w:pos="8504"/>
      </w:tabs>
      <w:snapToGrid w:val="0"/>
    </w:pPr>
  </w:style>
  <w:style w:type="character" w:customStyle="1" w:styleId="a8">
    <w:name w:val="ヘッダー (文字)"/>
    <w:basedOn w:val="a0"/>
    <w:link w:val="a7"/>
    <w:uiPriority w:val="99"/>
    <w:semiHidden/>
    <w:rsid w:val="00796D9E"/>
  </w:style>
  <w:style w:type="paragraph" w:styleId="a9">
    <w:name w:val="footer"/>
    <w:basedOn w:val="a"/>
    <w:link w:val="aa"/>
    <w:uiPriority w:val="99"/>
    <w:semiHidden/>
    <w:unhideWhenUsed/>
    <w:rsid w:val="00796D9E"/>
    <w:pPr>
      <w:tabs>
        <w:tab w:val="center" w:pos="4252"/>
        <w:tab w:val="right" w:pos="8504"/>
      </w:tabs>
      <w:snapToGrid w:val="0"/>
    </w:pPr>
  </w:style>
  <w:style w:type="character" w:customStyle="1" w:styleId="aa">
    <w:name w:val="フッター (文字)"/>
    <w:basedOn w:val="a0"/>
    <w:link w:val="a9"/>
    <w:uiPriority w:val="99"/>
    <w:semiHidden/>
    <w:rsid w:val="00796D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FD4F5-A7D6-47E3-94A9-D493AA56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4</cp:revision>
  <cp:lastPrinted>2012-07-31T06:17:00Z</cp:lastPrinted>
  <dcterms:created xsi:type="dcterms:W3CDTF">2012-07-30T08:37:00Z</dcterms:created>
  <dcterms:modified xsi:type="dcterms:W3CDTF">2012-07-31T06:23:00Z</dcterms:modified>
</cp:coreProperties>
</file>